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18" w:rsidRPr="006B76BF" w:rsidRDefault="00CA4018" w:rsidP="00CA4018">
      <w:pPr>
        <w:widowControl w:val="0"/>
        <w:autoSpaceDE w:val="0"/>
        <w:autoSpaceDN w:val="0"/>
        <w:adjustRightInd w:val="0"/>
        <w:spacing w:line="237" w:lineRule="auto"/>
        <w:rPr>
          <w:sz w:val="28"/>
          <w:szCs w:val="28"/>
        </w:rPr>
      </w:pPr>
      <w:r w:rsidRPr="006B76BF">
        <w:rPr>
          <w:rFonts w:ascii="Calibri" w:hAnsi="Calibri" w:cs="Calibri"/>
          <w:b/>
          <w:bCs/>
          <w:sz w:val="28"/>
          <w:szCs w:val="28"/>
        </w:rPr>
        <w:t>RESOLUÇÃO N° 0</w:t>
      </w:r>
      <w:r>
        <w:rPr>
          <w:rFonts w:ascii="Calibri" w:hAnsi="Calibri" w:cs="Calibri"/>
          <w:b/>
          <w:bCs/>
          <w:sz w:val="28"/>
          <w:szCs w:val="28"/>
        </w:rPr>
        <w:t>01</w:t>
      </w:r>
      <w:r w:rsidRPr="006B76BF">
        <w:rPr>
          <w:rFonts w:ascii="Calibri" w:hAnsi="Calibri" w:cs="Calibri"/>
          <w:b/>
          <w:bCs/>
          <w:sz w:val="28"/>
          <w:szCs w:val="28"/>
        </w:rPr>
        <w:t xml:space="preserve">, de </w:t>
      </w:r>
      <w:r>
        <w:rPr>
          <w:rFonts w:ascii="Calibri" w:hAnsi="Calibri" w:cs="Calibri"/>
          <w:b/>
          <w:bCs/>
          <w:sz w:val="28"/>
          <w:szCs w:val="28"/>
        </w:rPr>
        <w:t>27</w:t>
      </w:r>
      <w:r w:rsidRPr="006B76BF">
        <w:rPr>
          <w:rFonts w:ascii="Calibri" w:hAnsi="Calibri" w:cs="Calibri"/>
          <w:b/>
          <w:bCs/>
          <w:sz w:val="28"/>
          <w:szCs w:val="28"/>
        </w:rPr>
        <w:t xml:space="preserve"> de </w:t>
      </w:r>
      <w:r>
        <w:rPr>
          <w:rFonts w:ascii="Calibri" w:hAnsi="Calibri" w:cs="Calibri"/>
          <w:b/>
          <w:bCs/>
          <w:sz w:val="28"/>
          <w:szCs w:val="28"/>
        </w:rPr>
        <w:t xml:space="preserve">Março </w:t>
      </w:r>
      <w:r w:rsidRPr="006B76BF">
        <w:rPr>
          <w:rFonts w:ascii="Calibri" w:hAnsi="Calibri" w:cs="Calibri"/>
          <w:b/>
          <w:bCs/>
          <w:sz w:val="28"/>
          <w:szCs w:val="28"/>
        </w:rPr>
        <w:t xml:space="preserve">de </w:t>
      </w:r>
      <w:proofErr w:type="gramStart"/>
      <w:r w:rsidRPr="006B76BF">
        <w:rPr>
          <w:rFonts w:ascii="Calibri" w:hAnsi="Calibri" w:cs="Calibri"/>
          <w:b/>
          <w:bCs/>
          <w:sz w:val="28"/>
          <w:szCs w:val="28"/>
        </w:rPr>
        <w:t>201</w:t>
      </w:r>
      <w:r>
        <w:rPr>
          <w:rFonts w:ascii="Calibri" w:hAnsi="Calibri" w:cs="Calibri"/>
          <w:b/>
          <w:bCs/>
          <w:sz w:val="28"/>
          <w:szCs w:val="28"/>
        </w:rPr>
        <w:t>9</w:t>
      </w:r>
      <w:proofErr w:type="gramEnd"/>
    </w:p>
    <w:p w:rsidR="00CA4018" w:rsidRDefault="00CA4018" w:rsidP="00CA4018">
      <w:pPr>
        <w:widowControl w:val="0"/>
        <w:autoSpaceDE w:val="0"/>
        <w:autoSpaceDN w:val="0"/>
        <w:adjustRightInd w:val="0"/>
        <w:spacing w:line="237" w:lineRule="auto"/>
        <w:rPr>
          <w:rFonts w:asciiTheme="majorHAnsi" w:hAnsiTheme="majorHAnsi"/>
          <w:b/>
          <w:sz w:val="28"/>
          <w:szCs w:val="28"/>
        </w:rPr>
      </w:pPr>
      <w:r w:rsidRPr="006B76BF">
        <w:rPr>
          <w:rFonts w:ascii="Calibri" w:hAnsi="Calibri" w:cs="Calibri"/>
          <w:sz w:val="28"/>
          <w:szCs w:val="28"/>
        </w:rPr>
        <w:t>___________________________________________________</w:t>
      </w:r>
      <w:r>
        <w:rPr>
          <w:rFonts w:asciiTheme="majorHAnsi" w:hAnsiTheme="majorHAnsi"/>
          <w:b/>
          <w:sz w:val="28"/>
          <w:szCs w:val="28"/>
        </w:rPr>
        <w:t xml:space="preserve"> </w:t>
      </w:r>
    </w:p>
    <w:p w:rsidR="00CA4018" w:rsidRPr="001E6153" w:rsidRDefault="00CA4018" w:rsidP="00CA4018">
      <w:pPr>
        <w:widowControl w:val="0"/>
        <w:overflowPunct w:val="0"/>
        <w:autoSpaceDE w:val="0"/>
        <w:autoSpaceDN w:val="0"/>
        <w:adjustRightInd w:val="0"/>
        <w:ind w:left="4536"/>
        <w:jc w:val="both"/>
        <w:rPr>
          <w:rFonts w:asciiTheme="majorHAnsi" w:hAnsiTheme="majorHAnsi" w:cs="Cambria"/>
          <w:b/>
          <w:sz w:val="28"/>
          <w:szCs w:val="28"/>
        </w:rPr>
      </w:pPr>
      <w:r w:rsidRPr="001E6153">
        <w:rPr>
          <w:rFonts w:asciiTheme="majorHAnsi" w:hAnsiTheme="majorHAnsi"/>
          <w:b/>
          <w:sz w:val="28"/>
          <w:szCs w:val="28"/>
        </w:rPr>
        <w:t xml:space="preserve">Que Institui a Comissão </w:t>
      </w:r>
      <w:r w:rsidR="00B5743D">
        <w:rPr>
          <w:rFonts w:asciiTheme="majorHAnsi" w:hAnsiTheme="majorHAnsi"/>
          <w:b/>
          <w:sz w:val="28"/>
          <w:szCs w:val="28"/>
        </w:rPr>
        <w:t xml:space="preserve">Especial Eleitoral para </w:t>
      </w:r>
      <w:r w:rsidR="00E95BD1">
        <w:rPr>
          <w:rFonts w:asciiTheme="majorHAnsi" w:hAnsiTheme="majorHAnsi"/>
          <w:b/>
          <w:sz w:val="28"/>
          <w:szCs w:val="28"/>
        </w:rPr>
        <w:t xml:space="preserve">o processo de </w:t>
      </w:r>
      <w:r w:rsidR="001E6153" w:rsidRPr="001E6153">
        <w:rPr>
          <w:rFonts w:asciiTheme="majorHAnsi" w:hAnsiTheme="majorHAnsi"/>
          <w:b/>
          <w:sz w:val="28"/>
          <w:szCs w:val="28"/>
        </w:rPr>
        <w:t xml:space="preserve">escolha dos membros do Conselho Tutelar do município de </w:t>
      </w:r>
      <w:r w:rsidR="001E6153">
        <w:rPr>
          <w:rFonts w:asciiTheme="majorHAnsi" w:hAnsiTheme="majorHAnsi"/>
          <w:b/>
          <w:sz w:val="28"/>
          <w:szCs w:val="28"/>
        </w:rPr>
        <w:t>Itaiópolis.</w:t>
      </w:r>
    </w:p>
    <w:p w:rsidR="00CA4018" w:rsidRDefault="00CA4018" w:rsidP="00CA4018">
      <w:pPr>
        <w:widowControl w:val="0"/>
        <w:overflowPunct w:val="0"/>
        <w:autoSpaceDE w:val="0"/>
        <w:autoSpaceDN w:val="0"/>
        <w:adjustRightInd w:val="0"/>
        <w:ind w:left="4536"/>
        <w:jc w:val="both"/>
        <w:rPr>
          <w:rFonts w:asciiTheme="majorHAnsi" w:hAnsiTheme="majorHAnsi" w:cs="Cambria"/>
          <w:b/>
          <w:sz w:val="28"/>
          <w:szCs w:val="28"/>
        </w:rPr>
      </w:pPr>
    </w:p>
    <w:p w:rsidR="00CA4018" w:rsidRPr="00A24D70" w:rsidRDefault="00CA4018" w:rsidP="00CA4018">
      <w:pPr>
        <w:widowControl w:val="0"/>
        <w:overflowPunct w:val="0"/>
        <w:autoSpaceDE w:val="0"/>
        <w:autoSpaceDN w:val="0"/>
        <w:adjustRightInd w:val="0"/>
        <w:ind w:left="4536"/>
        <w:jc w:val="both"/>
        <w:rPr>
          <w:rFonts w:asciiTheme="majorHAnsi" w:hAnsiTheme="majorHAnsi" w:cs="Cambria"/>
          <w:b/>
          <w:sz w:val="28"/>
          <w:szCs w:val="28"/>
        </w:rPr>
      </w:pPr>
    </w:p>
    <w:p w:rsidR="00CA4018" w:rsidRPr="001D1759" w:rsidRDefault="00CA4018" w:rsidP="00CA4018">
      <w:pPr>
        <w:jc w:val="both"/>
        <w:rPr>
          <w:rFonts w:asciiTheme="majorHAnsi" w:hAnsiTheme="majorHAnsi"/>
        </w:rPr>
      </w:pPr>
      <w:r w:rsidRPr="001D1759">
        <w:rPr>
          <w:rFonts w:asciiTheme="majorHAnsi" w:hAnsiTheme="majorHAnsi"/>
        </w:rPr>
        <w:t xml:space="preserve">O Conselho Municipal dos Direitos da Criança e do Adolescente (CMDCA) de Itaiópolis, Estado de Santa Catarina, no uso de suas atribuições legais que lhe confere a Lei Federal nº 8.069 de 13 de julho de 1990 - Estatuto da Criança e do Adolescente (ECA), e Lei Municipal nº 013 de 25 de março de 1992 e suas alterações dadas pela Lei Municipal nº 645 de 1º de abril de 2015, conforme deliberação em sessão ordinária de </w:t>
      </w:r>
      <w:r w:rsidR="001D1759" w:rsidRPr="001D1759">
        <w:rPr>
          <w:rFonts w:asciiTheme="majorHAnsi" w:hAnsiTheme="majorHAnsi"/>
        </w:rPr>
        <w:t>27</w:t>
      </w:r>
      <w:r w:rsidRPr="001D1759">
        <w:rPr>
          <w:rFonts w:asciiTheme="majorHAnsi" w:hAnsiTheme="majorHAnsi"/>
        </w:rPr>
        <w:t xml:space="preserve"> de </w:t>
      </w:r>
      <w:r w:rsidR="001D1759" w:rsidRPr="001D1759">
        <w:rPr>
          <w:rFonts w:asciiTheme="majorHAnsi" w:hAnsiTheme="majorHAnsi"/>
        </w:rPr>
        <w:t>Março</w:t>
      </w:r>
      <w:r w:rsidRPr="001D1759">
        <w:rPr>
          <w:rFonts w:asciiTheme="majorHAnsi" w:hAnsiTheme="majorHAnsi"/>
        </w:rPr>
        <w:t xml:space="preserve"> de 201</w:t>
      </w:r>
      <w:r w:rsidR="001D1759" w:rsidRPr="001D1759">
        <w:rPr>
          <w:rFonts w:asciiTheme="majorHAnsi" w:hAnsiTheme="majorHAnsi"/>
        </w:rPr>
        <w:t>9</w:t>
      </w:r>
      <w:r w:rsidRPr="001D1759">
        <w:rPr>
          <w:rFonts w:asciiTheme="majorHAnsi" w:hAnsiTheme="majorHAnsi"/>
        </w:rPr>
        <w:t>;</w:t>
      </w:r>
    </w:p>
    <w:p w:rsidR="00CA4018" w:rsidRPr="001D1759" w:rsidRDefault="00CA4018" w:rsidP="00CA4018">
      <w:pPr>
        <w:pStyle w:val="NormalWeb"/>
        <w:jc w:val="both"/>
        <w:rPr>
          <w:rFonts w:asciiTheme="majorHAnsi" w:hAnsiTheme="majorHAnsi"/>
          <w:b/>
        </w:rPr>
      </w:pPr>
      <w:r w:rsidRPr="001D1759">
        <w:rPr>
          <w:rFonts w:asciiTheme="majorHAnsi" w:hAnsiTheme="majorHAnsi"/>
          <w:b/>
        </w:rPr>
        <w:t xml:space="preserve">RESOLVE: </w:t>
      </w:r>
    </w:p>
    <w:p w:rsidR="001D1759" w:rsidRPr="001D1759" w:rsidRDefault="001D1759" w:rsidP="001D1759">
      <w:pPr>
        <w:jc w:val="both"/>
        <w:rPr>
          <w:rFonts w:asciiTheme="majorHAnsi" w:hAnsiTheme="majorHAnsi"/>
        </w:rPr>
      </w:pPr>
      <w:r w:rsidRPr="001D1759">
        <w:rPr>
          <w:rFonts w:asciiTheme="majorHAnsi" w:hAnsiTheme="majorHAnsi"/>
          <w:b/>
        </w:rPr>
        <w:t xml:space="preserve">Art.1º </w:t>
      </w:r>
      <w:r w:rsidRPr="001D1759">
        <w:rPr>
          <w:rFonts w:asciiTheme="majorHAnsi" w:hAnsiTheme="majorHAnsi"/>
        </w:rPr>
        <w:t xml:space="preserve">Instituir a Comissão </w:t>
      </w:r>
      <w:r w:rsidR="00B11D8E">
        <w:rPr>
          <w:rFonts w:asciiTheme="majorHAnsi" w:hAnsiTheme="majorHAnsi"/>
        </w:rPr>
        <w:t>Especial Eleitoral</w:t>
      </w:r>
      <w:r w:rsidRPr="001D1759">
        <w:rPr>
          <w:rFonts w:asciiTheme="majorHAnsi" w:hAnsiTheme="majorHAnsi"/>
        </w:rPr>
        <w:t xml:space="preserve"> com o objetivo de conduzir o processo de escolha unificado dos membros do Conselho Tutelar do município de Itaiópolis, sendo composta por </w:t>
      </w:r>
      <w:r w:rsidRPr="001D1759">
        <w:rPr>
          <w:rFonts w:asciiTheme="majorHAnsi" w:hAnsiTheme="majorHAnsi"/>
          <w:b/>
        </w:rPr>
        <w:t>04 conselheiros do CMDCA</w:t>
      </w:r>
      <w:r w:rsidRPr="001D1759">
        <w:rPr>
          <w:rFonts w:asciiTheme="majorHAnsi" w:hAnsiTheme="majorHAnsi"/>
        </w:rPr>
        <w:t>, garantindo a paridade entre governo e sociedade civil.</w:t>
      </w:r>
    </w:p>
    <w:p w:rsidR="001D1759" w:rsidRPr="001D1759" w:rsidRDefault="001D1759" w:rsidP="001D1759">
      <w:pPr>
        <w:jc w:val="both"/>
        <w:rPr>
          <w:rFonts w:asciiTheme="majorHAnsi" w:hAnsiTheme="majorHAnsi"/>
        </w:rPr>
      </w:pPr>
    </w:p>
    <w:p w:rsidR="001D1759" w:rsidRPr="001D1759" w:rsidRDefault="001D1759" w:rsidP="001D1759">
      <w:pPr>
        <w:jc w:val="both"/>
        <w:rPr>
          <w:rFonts w:asciiTheme="majorHAnsi" w:hAnsiTheme="majorHAnsi"/>
        </w:rPr>
      </w:pPr>
      <w:r w:rsidRPr="001D1759">
        <w:rPr>
          <w:rFonts w:asciiTheme="majorHAnsi" w:hAnsiTheme="majorHAnsi"/>
        </w:rPr>
        <w:t>§1º Não poderão fazer parte da Comissão, os conselheiros que concorrerão ao processo de escolha dos membros do Conselho Tutelar ou os cônjuges, companheiros, mesmo que em união homoafetiva, ou parentes em linha reta, colateral ou por afinidade, até o terceiro grau, inclusive.</w:t>
      </w:r>
    </w:p>
    <w:p w:rsidR="001D1759" w:rsidRPr="001D1759" w:rsidRDefault="001D1759" w:rsidP="001D1759">
      <w:pPr>
        <w:jc w:val="both"/>
        <w:rPr>
          <w:rFonts w:asciiTheme="majorHAnsi" w:hAnsiTheme="majorHAnsi"/>
        </w:rPr>
      </w:pPr>
    </w:p>
    <w:p w:rsidR="001D1759" w:rsidRPr="001D1759" w:rsidRDefault="001D1759" w:rsidP="001D1759">
      <w:pPr>
        <w:jc w:val="both"/>
        <w:rPr>
          <w:rFonts w:asciiTheme="majorHAnsi" w:hAnsiTheme="majorHAnsi"/>
        </w:rPr>
      </w:pPr>
      <w:r w:rsidRPr="001D1759">
        <w:rPr>
          <w:rFonts w:asciiTheme="majorHAnsi" w:hAnsiTheme="majorHAnsi"/>
        </w:rPr>
        <w:t>§2º Caso algum membro do CMDCA venha a tornar-se impedido por conta do disposto no §1º deste artigo, será afastado da Comissão, sendo substituído por outro conselheiro.</w:t>
      </w:r>
    </w:p>
    <w:p w:rsidR="001D1759" w:rsidRPr="001D1759" w:rsidRDefault="001D1759" w:rsidP="001D1759">
      <w:pPr>
        <w:jc w:val="both"/>
        <w:rPr>
          <w:rFonts w:asciiTheme="majorHAnsi" w:hAnsiTheme="majorHAnsi"/>
        </w:rPr>
      </w:pPr>
    </w:p>
    <w:p w:rsidR="001D1759" w:rsidRDefault="001D1759" w:rsidP="001D1759">
      <w:pPr>
        <w:jc w:val="both"/>
        <w:rPr>
          <w:rFonts w:asciiTheme="majorHAnsi" w:hAnsiTheme="majorHAnsi"/>
        </w:rPr>
      </w:pPr>
      <w:r w:rsidRPr="001D1759">
        <w:rPr>
          <w:rFonts w:asciiTheme="majorHAnsi" w:hAnsiTheme="majorHAnsi"/>
          <w:b/>
        </w:rPr>
        <w:t>Art. 2º</w:t>
      </w:r>
      <w:r w:rsidRPr="001D1759">
        <w:rPr>
          <w:rFonts w:asciiTheme="majorHAnsi" w:hAnsiTheme="majorHAnsi"/>
        </w:rPr>
        <w:t xml:space="preserve"> Integra a Comissão </w:t>
      </w:r>
      <w:r w:rsidR="00B11D8E">
        <w:rPr>
          <w:rFonts w:asciiTheme="majorHAnsi" w:hAnsiTheme="majorHAnsi"/>
        </w:rPr>
        <w:t>Especial Eleitoral</w:t>
      </w:r>
      <w:r w:rsidRPr="001D1759">
        <w:rPr>
          <w:rFonts w:asciiTheme="majorHAnsi" w:hAnsiTheme="majorHAnsi"/>
        </w:rPr>
        <w:t xml:space="preserve"> os seguintes conselheiros: </w:t>
      </w:r>
    </w:p>
    <w:p w:rsidR="002C785F" w:rsidRDefault="002C785F" w:rsidP="001D1759">
      <w:pPr>
        <w:jc w:val="both"/>
        <w:rPr>
          <w:rFonts w:asciiTheme="majorHAnsi" w:hAnsiTheme="majorHAnsi"/>
        </w:rPr>
      </w:pPr>
    </w:p>
    <w:p w:rsidR="00D07F4E" w:rsidRDefault="00D07F4E" w:rsidP="001D1759">
      <w:pPr>
        <w:jc w:val="both"/>
        <w:rPr>
          <w:rFonts w:asciiTheme="majorHAnsi" w:hAnsiTheme="majorHAnsi"/>
        </w:rPr>
      </w:pPr>
      <w:r w:rsidRPr="001E18F1">
        <w:rPr>
          <w:rFonts w:asciiTheme="majorHAnsi" w:hAnsiTheme="majorHAnsi"/>
          <w:b/>
        </w:rPr>
        <w:t>Cleide Ribeiro Valentim de Oliveira de Campos</w:t>
      </w:r>
      <w:r w:rsidR="002C785F">
        <w:rPr>
          <w:rFonts w:asciiTheme="majorHAnsi" w:hAnsiTheme="majorHAnsi"/>
        </w:rPr>
        <w:t xml:space="preserve"> – Governamental.</w:t>
      </w:r>
    </w:p>
    <w:p w:rsidR="00D07F4E" w:rsidRDefault="00D07F4E" w:rsidP="001D1759">
      <w:pPr>
        <w:jc w:val="both"/>
        <w:rPr>
          <w:rFonts w:asciiTheme="majorHAnsi" w:hAnsiTheme="majorHAnsi"/>
        </w:rPr>
      </w:pPr>
      <w:proofErr w:type="spellStart"/>
      <w:r w:rsidRPr="001E18F1">
        <w:rPr>
          <w:rFonts w:asciiTheme="majorHAnsi" w:hAnsiTheme="majorHAnsi"/>
          <w:b/>
        </w:rPr>
        <w:t>Andrieli</w:t>
      </w:r>
      <w:proofErr w:type="spellEnd"/>
      <w:r w:rsidRPr="001E18F1">
        <w:rPr>
          <w:rFonts w:asciiTheme="majorHAnsi" w:hAnsiTheme="majorHAnsi"/>
          <w:b/>
        </w:rPr>
        <w:t xml:space="preserve"> </w:t>
      </w:r>
      <w:proofErr w:type="spellStart"/>
      <w:r w:rsidRPr="001E18F1">
        <w:rPr>
          <w:rFonts w:asciiTheme="majorHAnsi" w:hAnsiTheme="majorHAnsi"/>
          <w:b/>
        </w:rPr>
        <w:t>Worm</w:t>
      </w:r>
      <w:proofErr w:type="spellEnd"/>
      <w:r>
        <w:rPr>
          <w:rFonts w:asciiTheme="majorHAnsi" w:hAnsiTheme="majorHAnsi"/>
        </w:rPr>
        <w:t xml:space="preserve"> </w:t>
      </w:r>
      <w:r w:rsidR="002C785F">
        <w:rPr>
          <w:rFonts w:asciiTheme="majorHAnsi" w:hAnsiTheme="majorHAnsi"/>
        </w:rPr>
        <w:t>–</w:t>
      </w:r>
      <w:r>
        <w:rPr>
          <w:rFonts w:asciiTheme="majorHAnsi" w:hAnsiTheme="majorHAnsi"/>
        </w:rPr>
        <w:t xml:space="preserve"> Governamental</w:t>
      </w:r>
      <w:r w:rsidR="002C785F">
        <w:rPr>
          <w:rFonts w:asciiTheme="majorHAnsi" w:hAnsiTheme="majorHAnsi"/>
        </w:rPr>
        <w:t>.</w:t>
      </w:r>
    </w:p>
    <w:p w:rsidR="002C785F" w:rsidRDefault="002C785F" w:rsidP="001D1759">
      <w:pPr>
        <w:jc w:val="both"/>
        <w:rPr>
          <w:rFonts w:asciiTheme="majorHAnsi" w:hAnsiTheme="majorHAnsi"/>
        </w:rPr>
      </w:pPr>
      <w:r w:rsidRPr="001E18F1">
        <w:rPr>
          <w:rFonts w:asciiTheme="majorHAnsi" w:hAnsiTheme="majorHAnsi"/>
          <w:b/>
        </w:rPr>
        <w:t xml:space="preserve">Anderson </w:t>
      </w:r>
      <w:proofErr w:type="spellStart"/>
      <w:r w:rsidRPr="001E18F1">
        <w:rPr>
          <w:rFonts w:asciiTheme="majorHAnsi" w:hAnsiTheme="majorHAnsi"/>
          <w:b/>
        </w:rPr>
        <w:t>Oparacz</w:t>
      </w:r>
      <w:proofErr w:type="spellEnd"/>
      <w:r>
        <w:rPr>
          <w:rFonts w:asciiTheme="majorHAnsi" w:hAnsiTheme="majorHAnsi"/>
        </w:rPr>
        <w:t xml:space="preserve"> – Não Governamental.</w:t>
      </w:r>
    </w:p>
    <w:p w:rsidR="002C785F" w:rsidRDefault="002C785F" w:rsidP="001D1759">
      <w:pPr>
        <w:jc w:val="both"/>
        <w:rPr>
          <w:rFonts w:asciiTheme="majorHAnsi" w:hAnsiTheme="majorHAnsi"/>
        </w:rPr>
      </w:pPr>
      <w:r w:rsidRPr="001E18F1">
        <w:rPr>
          <w:rFonts w:asciiTheme="majorHAnsi" w:hAnsiTheme="majorHAnsi"/>
          <w:b/>
        </w:rPr>
        <w:t xml:space="preserve">Rosane </w:t>
      </w:r>
      <w:proofErr w:type="spellStart"/>
      <w:r w:rsidRPr="001E18F1">
        <w:rPr>
          <w:rFonts w:asciiTheme="majorHAnsi" w:hAnsiTheme="majorHAnsi"/>
          <w:b/>
        </w:rPr>
        <w:t>Apª</w:t>
      </w:r>
      <w:proofErr w:type="spellEnd"/>
      <w:r w:rsidRPr="001E18F1">
        <w:rPr>
          <w:rFonts w:asciiTheme="majorHAnsi" w:hAnsiTheme="majorHAnsi"/>
          <w:b/>
        </w:rPr>
        <w:t xml:space="preserve"> </w:t>
      </w:r>
      <w:proofErr w:type="spellStart"/>
      <w:r w:rsidRPr="001E18F1">
        <w:rPr>
          <w:rFonts w:asciiTheme="majorHAnsi" w:hAnsiTheme="majorHAnsi"/>
          <w:b/>
        </w:rPr>
        <w:t>Welter</w:t>
      </w:r>
      <w:proofErr w:type="spellEnd"/>
      <w:r w:rsidRPr="001E18F1">
        <w:rPr>
          <w:rFonts w:asciiTheme="majorHAnsi" w:hAnsiTheme="majorHAnsi"/>
          <w:b/>
        </w:rPr>
        <w:t xml:space="preserve"> de Quadros</w:t>
      </w:r>
      <w:r>
        <w:rPr>
          <w:rFonts w:asciiTheme="majorHAnsi" w:hAnsiTheme="majorHAnsi"/>
        </w:rPr>
        <w:t xml:space="preserve"> – Não Governamental.</w:t>
      </w:r>
    </w:p>
    <w:p w:rsidR="002C785F" w:rsidRPr="00D07F4E" w:rsidRDefault="002C785F" w:rsidP="001D1759">
      <w:pPr>
        <w:jc w:val="both"/>
        <w:rPr>
          <w:rFonts w:asciiTheme="majorHAnsi" w:hAnsiTheme="majorHAnsi"/>
        </w:rPr>
      </w:pPr>
    </w:p>
    <w:p w:rsidR="001D1759" w:rsidRPr="001D1759" w:rsidRDefault="001D1759" w:rsidP="001D1759">
      <w:pPr>
        <w:jc w:val="both"/>
        <w:rPr>
          <w:rFonts w:asciiTheme="majorHAnsi" w:hAnsiTheme="majorHAnsi"/>
        </w:rPr>
      </w:pPr>
      <w:r w:rsidRPr="001D1759">
        <w:rPr>
          <w:rFonts w:asciiTheme="majorHAnsi" w:hAnsiTheme="majorHAnsi"/>
        </w:rPr>
        <w:lastRenderedPageBreak/>
        <w:t xml:space="preserve">Parágrafo único: A Comissão </w:t>
      </w:r>
      <w:r w:rsidR="00B11D8E">
        <w:rPr>
          <w:rFonts w:asciiTheme="majorHAnsi" w:hAnsiTheme="majorHAnsi"/>
        </w:rPr>
        <w:t>Especial</w:t>
      </w:r>
      <w:r w:rsidRPr="001D1759">
        <w:rPr>
          <w:rFonts w:asciiTheme="majorHAnsi" w:hAnsiTheme="majorHAnsi"/>
        </w:rPr>
        <w:t xml:space="preserve"> </w:t>
      </w:r>
      <w:r w:rsidR="00B11D8E">
        <w:rPr>
          <w:rFonts w:asciiTheme="majorHAnsi" w:hAnsiTheme="majorHAnsi"/>
        </w:rPr>
        <w:t xml:space="preserve">Eleitoral </w:t>
      </w:r>
      <w:r w:rsidRPr="001D1759">
        <w:rPr>
          <w:rFonts w:asciiTheme="majorHAnsi" w:hAnsiTheme="majorHAnsi"/>
        </w:rPr>
        <w:t>deverá entre os seus membros eleger um coordenador.</w:t>
      </w:r>
    </w:p>
    <w:p w:rsidR="001D1759" w:rsidRPr="001D1759" w:rsidRDefault="001D1759" w:rsidP="001D1759">
      <w:pPr>
        <w:jc w:val="both"/>
        <w:rPr>
          <w:rFonts w:asciiTheme="majorHAnsi" w:hAnsiTheme="majorHAnsi"/>
        </w:rPr>
      </w:pPr>
    </w:p>
    <w:p w:rsidR="001D1759" w:rsidRPr="001D1759" w:rsidRDefault="001D1759" w:rsidP="001D1759">
      <w:pPr>
        <w:jc w:val="both"/>
        <w:rPr>
          <w:rFonts w:asciiTheme="majorHAnsi" w:hAnsiTheme="majorHAnsi"/>
        </w:rPr>
      </w:pPr>
      <w:r w:rsidRPr="001D1759">
        <w:rPr>
          <w:rFonts w:asciiTheme="majorHAnsi" w:hAnsiTheme="majorHAnsi"/>
          <w:b/>
        </w:rPr>
        <w:t>Art. 3º</w:t>
      </w:r>
      <w:r w:rsidRPr="001D1759">
        <w:rPr>
          <w:rFonts w:asciiTheme="majorHAnsi" w:hAnsiTheme="majorHAnsi"/>
        </w:rPr>
        <w:t xml:space="preserve"> Compete a Comissão </w:t>
      </w:r>
      <w:r w:rsidR="00B11D8E">
        <w:rPr>
          <w:rFonts w:asciiTheme="majorHAnsi" w:hAnsiTheme="majorHAnsi"/>
        </w:rPr>
        <w:t>Especial Eleitoral</w:t>
      </w:r>
      <w:r w:rsidRPr="001D1759">
        <w:rPr>
          <w:rFonts w:asciiTheme="majorHAnsi" w:hAnsiTheme="majorHAnsi"/>
        </w:rPr>
        <w:t xml:space="preserve"> analisar os pedidos de registro de candidatura e dar ampla publicidade à relação dos pretendentes inscritos, facultando a qualquer cidadão impugnar, no prazo de </w:t>
      </w:r>
      <w:proofErr w:type="gramStart"/>
      <w:r w:rsidRPr="001D1759">
        <w:rPr>
          <w:rFonts w:asciiTheme="majorHAnsi" w:hAnsiTheme="majorHAnsi"/>
        </w:rPr>
        <w:t>5</w:t>
      </w:r>
      <w:proofErr w:type="gramEnd"/>
      <w:r w:rsidRPr="001D1759">
        <w:rPr>
          <w:rFonts w:asciiTheme="majorHAnsi" w:hAnsiTheme="majorHAnsi"/>
        </w:rPr>
        <w:t xml:space="preserve"> (cinco) dias contados da publicação, candidatos que não atendam os requisitos exigidos, indicando os elementos probatórios. </w:t>
      </w:r>
    </w:p>
    <w:p w:rsidR="001D1759" w:rsidRPr="001D1759" w:rsidRDefault="001D1759" w:rsidP="001D1759">
      <w:pPr>
        <w:jc w:val="both"/>
        <w:rPr>
          <w:rFonts w:asciiTheme="majorHAnsi" w:hAnsiTheme="majorHAnsi"/>
        </w:rPr>
      </w:pPr>
      <w:r w:rsidRPr="001D1759">
        <w:rPr>
          <w:rFonts w:asciiTheme="majorHAnsi" w:hAnsiTheme="majorHAnsi"/>
        </w:rPr>
        <w:t>§1º. Diante da impugnação de candidatos ao Conselho Tutelar em razão do não preenchimento dos requisitos legais ou da prática de condutas ilícitas ou vedadas, cabe à comissão especial eleitoral:</w:t>
      </w:r>
    </w:p>
    <w:p w:rsidR="001D1759" w:rsidRPr="001D1759" w:rsidRDefault="001D1759" w:rsidP="001D1759">
      <w:pPr>
        <w:jc w:val="both"/>
        <w:rPr>
          <w:rFonts w:asciiTheme="majorHAnsi" w:hAnsiTheme="majorHAnsi"/>
        </w:rPr>
      </w:pPr>
      <w:r w:rsidRPr="001D1759">
        <w:rPr>
          <w:rFonts w:asciiTheme="majorHAnsi" w:hAnsiTheme="majorHAnsi"/>
        </w:rPr>
        <w:t>I - Notificar os candidatos, concedendo-lhes prazo para apresentação de defesa;</w:t>
      </w:r>
    </w:p>
    <w:p w:rsidR="001D1759" w:rsidRPr="001D1759" w:rsidRDefault="001D1759" w:rsidP="001D1759">
      <w:pPr>
        <w:jc w:val="both"/>
        <w:rPr>
          <w:rFonts w:asciiTheme="majorHAnsi" w:hAnsiTheme="majorHAnsi"/>
        </w:rPr>
      </w:pPr>
      <w:r w:rsidRPr="001D1759">
        <w:rPr>
          <w:rFonts w:asciiTheme="majorHAnsi" w:hAnsiTheme="majorHAnsi"/>
        </w:rPr>
        <w:t xml:space="preserve">II - Realizar reunião para decidir acerca da impugnação da candidatura, podendo, se necessário, ouvir testemunhas eventualmente arroladas, determinar a juntada de documentos e a realização de outras diligências. </w:t>
      </w:r>
    </w:p>
    <w:p w:rsidR="001D1759" w:rsidRPr="001D1759" w:rsidRDefault="001D1759" w:rsidP="001D1759">
      <w:pPr>
        <w:jc w:val="both"/>
        <w:rPr>
          <w:rFonts w:asciiTheme="majorHAnsi" w:hAnsiTheme="majorHAnsi"/>
        </w:rPr>
      </w:pPr>
    </w:p>
    <w:p w:rsidR="001D1759" w:rsidRPr="001D1759" w:rsidRDefault="001D1759" w:rsidP="001D1759">
      <w:pPr>
        <w:jc w:val="both"/>
        <w:rPr>
          <w:rFonts w:asciiTheme="majorHAnsi" w:hAnsiTheme="majorHAnsi"/>
        </w:rPr>
      </w:pPr>
      <w:r w:rsidRPr="001D1759">
        <w:rPr>
          <w:rFonts w:asciiTheme="majorHAnsi" w:hAnsiTheme="majorHAnsi"/>
          <w:b/>
        </w:rPr>
        <w:t>Art. 4º</w:t>
      </w:r>
      <w:r w:rsidRPr="001D1759">
        <w:rPr>
          <w:rFonts w:asciiTheme="majorHAnsi" w:hAnsiTheme="majorHAnsi"/>
        </w:rPr>
        <w:t xml:space="preserve"> Das decisões da Comissão</w:t>
      </w:r>
      <w:r w:rsidR="00B11D8E">
        <w:rPr>
          <w:rFonts w:asciiTheme="majorHAnsi" w:hAnsiTheme="majorHAnsi"/>
        </w:rPr>
        <w:t xml:space="preserve"> Especial Eleitoral </w:t>
      </w:r>
      <w:r w:rsidRPr="001D1759">
        <w:rPr>
          <w:rFonts w:asciiTheme="majorHAnsi" w:hAnsiTheme="majorHAnsi"/>
        </w:rPr>
        <w:t xml:space="preserve">caberá recurso à plenária do CMDCA, que se reunirá, em caráter extraordinário, para decisão com o máximo de celeridade. </w:t>
      </w:r>
    </w:p>
    <w:p w:rsidR="001D1759" w:rsidRPr="001D1759" w:rsidRDefault="001D1759" w:rsidP="001D1759">
      <w:pPr>
        <w:jc w:val="both"/>
        <w:rPr>
          <w:rFonts w:asciiTheme="majorHAnsi" w:hAnsiTheme="majorHAnsi"/>
        </w:rPr>
      </w:pPr>
      <w:r w:rsidRPr="001D1759">
        <w:rPr>
          <w:rFonts w:asciiTheme="majorHAnsi" w:hAnsiTheme="majorHAnsi"/>
        </w:rPr>
        <w:t xml:space="preserve">Parágrafo único: Esgotada a fase recursal, a comissão especial encarregada de realizar o processo de escolha publicará a relação dos candidatos habilitados, com cópia ao Ministério Público. </w:t>
      </w:r>
    </w:p>
    <w:p w:rsidR="001D1759" w:rsidRPr="001D1759" w:rsidRDefault="001D1759" w:rsidP="001D1759">
      <w:pPr>
        <w:jc w:val="both"/>
        <w:rPr>
          <w:rFonts w:asciiTheme="majorHAnsi" w:hAnsiTheme="majorHAnsi"/>
        </w:rPr>
      </w:pPr>
    </w:p>
    <w:p w:rsidR="001D1759" w:rsidRPr="001D1759" w:rsidRDefault="001D1759" w:rsidP="001D1759">
      <w:pPr>
        <w:jc w:val="both"/>
        <w:rPr>
          <w:rFonts w:asciiTheme="majorHAnsi" w:hAnsiTheme="majorHAnsi"/>
        </w:rPr>
      </w:pPr>
      <w:r w:rsidRPr="001D1759">
        <w:rPr>
          <w:rFonts w:asciiTheme="majorHAnsi" w:hAnsiTheme="majorHAnsi"/>
          <w:b/>
        </w:rPr>
        <w:t>Art. 5º</w:t>
      </w:r>
      <w:r w:rsidR="0071700C">
        <w:rPr>
          <w:rFonts w:asciiTheme="majorHAnsi" w:hAnsiTheme="majorHAnsi"/>
          <w:b/>
        </w:rPr>
        <w:t xml:space="preserve"> </w:t>
      </w:r>
      <w:r w:rsidRPr="001D1759">
        <w:rPr>
          <w:rFonts w:asciiTheme="majorHAnsi" w:hAnsiTheme="majorHAnsi"/>
        </w:rPr>
        <w:t xml:space="preserve">Atribuições da Comissão </w:t>
      </w:r>
      <w:r w:rsidR="00B11D8E">
        <w:rPr>
          <w:rFonts w:asciiTheme="majorHAnsi" w:hAnsiTheme="majorHAnsi"/>
        </w:rPr>
        <w:t>Especial Eleitoral:</w:t>
      </w:r>
    </w:p>
    <w:p w:rsidR="001D1759" w:rsidRPr="001D1759" w:rsidRDefault="001D1759" w:rsidP="001D1759">
      <w:pPr>
        <w:jc w:val="both"/>
        <w:rPr>
          <w:rFonts w:asciiTheme="majorHAnsi" w:hAnsiTheme="majorHAnsi"/>
        </w:rPr>
      </w:pPr>
      <w:r w:rsidRPr="001D1759">
        <w:rPr>
          <w:rFonts w:asciiTheme="majorHAnsi" w:hAnsiTheme="majorHAnsi"/>
        </w:rPr>
        <w:t xml:space="preserve">I - realizar reunião destinada a dar conhecimento formal das regras do processo de escolha aos candidatos considerados habilitados, que firmarão compromisso de respeitá-las, </w:t>
      </w:r>
      <w:proofErr w:type="gramStart"/>
      <w:r w:rsidRPr="001D1759">
        <w:rPr>
          <w:rFonts w:asciiTheme="majorHAnsi" w:hAnsiTheme="majorHAnsi"/>
        </w:rPr>
        <w:t>sob pena</w:t>
      </w:r>
      <w:proofErr w:type="gramEnd"/>
      <w:r w:rsidRPr="001D1759">
        <w:rPr>
          <w:rFonts w:asciiTheme="majorHAnsi" w:hAnsiTheme="majorHAnsi"/>
        </w:rPr>
        <w:t xml:space="preserve"> de imposição das sanções previstas na legislação local; </w:t>
      </w:r>
    </w:p>
    <w:p w:rsidR="001D1759" w:rsidRPr="001D1759" w:rsidRDefault="001D1759" w:rsidP="001D1759">
      <w:pPr>
        <w:jc w:val="both"/>
        <w:rPr>
          <w:rFonts w:asciiTheme="majorHAnsi" w:hAnsiTheme="majorHAnsi"/>
        </w:rPr>
      </w:pPr>
      <w:r w:rsidRPr="001D1759">
        <w:rPr>
          <w:rFonts w:asciiTheme="majorHAnsi" w:hAnsiTheme="majorHAnsi"/>
        </w:rPr>
        <w:t xml:space="preserve">II - estimular e facilitar o encaminhamento de notificação de fatos que constituam violação das regras de divulgação do processo de escolha por parte dos candidatos ou à sua ordem; </w:t>
      </w:r>
    </w:p>
    <w:p w:rsidR="001D1759" w:rsidRPr="001D1759" w:rsidRDefault="001D1759" w:rsidP="001D1759">
      <w:pPr>
        <w:jc w:val="both"/>
        <w:rPr>
          <w:rFonts w:asciiTheme="majorHAnsi" w:hAnsiTheme="majorHAnsi"/>
        </w:rPr>
      </w:pPr>
      <w:r w:rsidRPr="001D1759">
        <w:rPr>
          <w:rFonts w:asciiTheme="majorHAnsi" w:hAnsiTheme="majorHAnsi"/>
        </w:rPr>
        <w:t xml:space="preserve">III - analisar e decidir, em primeira instância administrativa, os pedidos de impugnação e outros incidentes ocorridos no dia da votação; </w:t>
      </w:r>
    </w:p>
    <w:p w:rsidR="001D1759" w:rsidRPr="001D1759" w:rsidRDefault="001D1759" w:rsidP="001D1759">
      <w:pPr>
        <w:jc w:val="both"/>
        <w:rPr>
          <w:rFonts w:asciiTheme="majorHAnsi" w:hAnsiTheme="majorHAnsi"/>
        </w:rPr>
      </w:pPr>
      <w:r w:rsidRPr="001D1759">
        <w:rPr>
          <w:rFonts w:asciiTheme="majorHAnsi" w:hAnsiTheme="majorHAnsi"/>
        </w:rPr>
        <w:t xml:space="preserve">IV - providenciar a confecção das cédulas, conforme modelo a ser aprovado; </w:t>
      </w:r>
    </w:p>
    <w:p w:rsidR="001D1759" w:rsidRPr="001D1759" w:rsidRDefault="001D1759" w:rsidP="001D1759">
      <w:pPr>
        <w:jc w:val="both"/>
        <w:rPr>
          <w:rFonts w:asciiTheme="majorHAnsi" w:hAnsiTheme="majorHAnsi"/>
        </w:rPr>
      </w:pPr>
      <w:r w:rsidRPr="001D1759">
        <w:rPr>
          <w:rFonts w:asciiTheme="majorHAnsi" w:hAnsiTheme="majorHAnsi"/>
        </w:rPr>
        <w:t>V - escolher e divulgar os locais do processo de escolha;</w:t>
      </w:r>
    </w:p>
    <w:p w:rsidR="001D1759" w:rsidRPr="001D1759" w:rsidRDefault="001D1759" w:rsidP="001D1759">
      <w:pPr>
        <w:jc w:val="both"/>
        <w:rPr>
          <w:rFonts w:asciiTheme="majorHAnsi" w:hAnsiTheme="majorHAnsi"/>
        </w:rPr>
      </w:pPr>
      <w:r w:rsidRPr="001D1759">
        <w:rPr>
          <w:rFonts w:asciiTheme="majorHAnsi" w:hAnsiTheme="majorHAnsi"/>
        </w:rPr>
        <w:t xml:space="preserve"> VI - selecionar, preferencialmente junto aos órgãos públicos municipais, os mesários e escrutinadores, bem como, seus respectivos suplentes, que serão previamente orientados sobre como proceder no dia do processo de escolha, na forma da resolução regulamentadora do pleito; </w:t>
      </w:r>
    </w:p>
    <w:p w:rsidR="001D1759" w:rsidRPr="001D1759" w:rsidRDefault="001D1759" w:rsidP="001D1759">
      <w:pPr>
        <w:jc w:val="both"/>
        <w:rPr>
          <w:rFonts w:asciiTheme="majorHAnsi" w:hAnsiTheme="majorHAnsi"/>
        </w:rPr>
      </w:pPr>
      <w:r w:rsidRPr="001D1759">
        <w:rPr>
          <w:rFonts w:asciiTheme="majorHAnsi" w:hAnsiTheme="majorHAnsi"/>
        </w:rPr>
        <w:t xml:space="preserve">VII - solicitar, junto ao comando da Polícia Militar local, a designação de efetivo para garantir a ordem e segurança dos locais do processo de escolha e apuração; </w:t>
      </w:r>
    </w:p>
    <w:p w:rsidR="001D1759" w:rsidRPr="001D1759" w:rsidRDefault="001D1759" w:rsidP="001D1759">
      <w:pPr>
        <w:jc w:val="both"/>
        <w:rPr>
          <w:rFonts w:asciiTheme="majorHAnsi" w:hAnsiTheme="majorHAnsi"/>
        </w:rPr>
      </w:pPr>
      <w:r w:rsidRPr="001D1759">
        <w:rPr>
          <w:rFonts w:asciiTheme="majorHAnsi" w:hAnsiTheme="majorHAnsi"/>
        </w:rPr>
        <w:t xml:space="preserve">VIII - divulgar, imediatamente após a apuração, o resultado oficial do processo de escolha; </w:t>
      </w:r>
      <w:proofErr w:type="gramStart"/>
      <w:r w:rsidRPr="001D1759">
        <w:rPr>
          <w:rFonts w:asciiTheme="majorHAnsi" w:hAnsiTheme="majorHAnsi"/>
        </w:rPr>
        <w:t>e</w:t>
      </w:r>
      <w:proofErr w:type="gramEnd"/>
    </w:p>
    <w:p w:rsidR="001D1759" w:rsidRPr="001D1759" w:rsidRDefault="001D1759" w:rsidP="001D1759">
      <w:pPr>
        <w:jc w:val="both"/>
        <w:rPr>
          <w:rFonts w:asciiTheme="majorHAnsi" w:hAnsiTheme="majorHAnsi"/>
        </w:rPr>
      </w:pPr>
      <w:r w:rsidRPr="001D1759">
        <w:rPr>
          <w:rFonts w:asciiTheme="majorHAnsi" w:hAnsiTheme="majorHAnsi"/>
        </w:rPr>
        <w:lastRenderedPageBreak/>
        <w:t xml:space="preserve"> IX - resolver os casos omissos.</w:t>
      </w:r>
    </w:p>
    <w:p w:rsidR="001D1759" w:rsidRPr="001D1759" w:rsidRDefault="001D1759" w:rsidP="001D1759">
      <w:pPr>
        <w:jc w:val="both"/>
        <w:rPr>
          <w:rFonts w:asciiTheme="majorHAnsi" w:hAnsiTheme="majorHAnsi"/>
        </w:rPr>
      </w:pPr>
    </w:p>
    <w:p w:rsidR="001D1759" w:rsidRPr="001D1759" w:rsidRDefault="001D1759" w:rsidP="001D1759">
      <w:pPr>
        <w:jc w:val="both"/>
        <w:rPr>
          <w:rFonts w:asciiTheme="majorHAnsi" w:hAnsiTheme="majorHAnsi"/>
        </w:rPr>
      </w:pPr>
      <w:r w:rsidRPr="001D1759">
        <w:rPr>
          <w:rFonts w:asciiTheme="majorHAnsi" w:hAnsiTheme="majorHAnsi"/>
          <w:b/>
        </w:rPr>
        <w:t>Art. 6º</w:t>
      </w:r>
      <w:r w:rsidRPr="001D1759">
        <w:rPr>
          <w:rFonts w:asciiTheme="majorHAnsi" w:hAnsiTheme="majorHAnsi"/>
        </w:rPr>
        <w:t xml:space="preserve"> A comissão deve notificar o Ministério Público, com a antecedência mínima de 72 (setenta e duas) horas, todas as reuniões deliberativas a serem realizadas pela comissão e pelo CMDCA, bem como de todas as decisões nelas proferidas e de todos os incidentes verificados.</w:t>
      </w:r>
    </w:p>
    <w:p w:rsidR="001D1759" w:rsidRPr="001D1759" w:rsidRDefault="001D1759" w:rsidP="001D1759">
      <w:pPr>
        <w:jc w:val="both"/>
        <w:rPr>
          <w:rFonts w:asciiTheme="majorHAnsi" w:hAnsiTheme="majorHAnsi"/>
        </w:rPr>
      </w:pPr>
    </w:p>
    <w:p w:rsidR="001D1759" w:rsidRPr="001D1759" w:rsidRDefault="001D1759" w:rsidP="001D1759">
      <w:pPr>
        <w:jc w:val="both"/>
        <w:rPr>
          <w:rFonts w:asciiTheme="majorHAnsi" w:hAnsiTheme="majorHAnsi"/>
        </w:rPr>
      </w:pPr>
      <w:r w:rsidRPr="001D1759">
        <w:rPr>
          <w:rFonts w:asciiTheme="majorHAnsi" w:hAnsiTheme="majorHAnsi"/>
          <w:b/>
        </w:rPr>
        <w:t>Art. 7º</w:t>
      </w:r>
      <w:r w:rsidRPr="001D1759">
        <w:rPr>
          <w:rFonts w:asciiTheme="majorHAnsi" w:hAnsiTheme="majorHAnsi"/>
        </w:rPr>
        <w:t xml:space="preserve"> Esta Resolução entra em vigor na data da sua publicação.</w:t>
      </w:r>
    </w:p>
    <w:p w:rsidR="00CA4018" w:rsidRDefault="00CA4018" w:rsidP="00CA4018">
      <w:pPr>
        <w:pStyle w:val="NormalWeb"/>
        <w:jc w:val="right"/>
        <w:rPr>
          <w:rFonts w:asciiTheme="majorHAnsi" w:hAnsiTheme="majorHAnsi" w:cs="Cambria"/>
          <w:sz w:val="26"/>
          <w:szCs w:val="26"/>
        </w:rPr>
      </w:pPr>
    </w:p>
    <w:p w:rsidR="00CA4018" w:rsidRDefault="00CA4018" w:rsidP="001D1759">
      <w:pPr>
        <w:pStyle w:val="NormalWeb"/>
        <w:spacing w:before="0" w:beforeAutospacing="0" w:after="0" w:afterAutospacing="0"/>
        <w:jc w:val="center"/>
        <w:rPr>
          <w:rFonts w:asciiTheme="majorHAnsi" w:hAnsiTheme="majorHAnsi" w:cs="Cambria"/>
          <w:sz w:val="28"/>
          <w:szCs w:val="28"/>
        </w:rPr>
      </w:pPr>
      <w:r>
        <w:rPr>
          <w:rFonts w:asciiTheme="majorHAnsi" w:hAnsiTheme="majorHAnsi" w:cs="Cambria"/>
          <w:sz w:val="28"/>
          <w:szCs w:val="28"/>
        </w:rPr>
        <w:t>_______________________________________________________</w:t>
      </w:r>
    </w:p>
    <w:p w:rsidR="00CA4018" w:rsidRDefault="00CA4018" w:rsidP="001D1759">
      <w:pPr>
        <w:pStyle w:val="NormalWeb"/>
        <w:spacing w:before="0" w:beforeAutospacing="0" w:after="0" w:afterAutospacing="0"/>
        <w:jc w:val="center"/>
        <w:rPr>
          <w:rFonts w:asciiTheme="majorHAnsi" w:hAnsiTheme="majorHAnsi" w:cs="Cambria"/>
          <w:sz w:val="28"/>
          <w:szCs w:val="28"/>
        </w:rPr>
      </w:pPr>
      <w:r>
        <w:rPr>
          <w:rFonts w:asciiTheme="majorHAnsi" w:hAnsiTheme="majorHAnsi" w:cs="Cambria"/>
          <w:sz w:val="28"/>
          <w:szCs w:val="28"/>
        </w:rPr>
        <w:t>Cleide Ribeiro Valentim de Oliveira de Campos</w:t>
      </w:r>
    </w:p>
    <w:p w:rsidR="00CA4018" w:rsidRPr="00312AB3" w:rsidRDefault="00CA4018" w:rsidP="001D1759">
      <w:pPr>
        <w:pStyle w:val="NormalWeb"/>
        <w:spacing w:before="0" w:beforeAutospacing="0" w:after="0" w:afterAutospacing="0"/>
        <w:jc w:val="center"/>
        <w:rPr>
          <w:rFonts w:asciiTheme="majorHAnsi" w:hAnsiTheme="majorHAnsi" w:cs="Cambria"/>
          <w:sz w:val="28"/>
          <w:szCs w:val="28"/>
        </w:rPr>
      </w:pPr>
      <w:r>
        <w:rPr>
          <w:rFonts w:asciiTheme="majorHAnsi" w:hAnsiTheme="majorHAnsi" w:cs="Cambria"/>
          <w:sz w:val="28"/>
          <w:szCs w:val="28"/>
        </w:rPr>
        <w:t>Presidente do CMDCA</w:t>
      </w:r>
    </w:p>
    <w:p w:rsidR="00DC0895" w:rsidRDefault="00DC0895" w:rsidP="001D1759">
      <w:pPr>
        <w:pStyle w:val="NormalWeb"/>
        <w:spacing w:before="0" w:beforeAutospacing="0" w:after="0" w:afterAutospacing="0"/>
        <w:jc w:val="center"/>
        <w:rPr>
          <w:rFonts w:asciiTheme="majorHAnsi" w:hAnsiTheme="majorHAnsi" w:cs="Cambria"/>
          <w:sz w:val="28"/>
          <w:szCs w:val="28"/>
        </w:rPr>
      </w:pPr>
    </w:p>
    <w:p w:rsidR="00C55945" w:rsidRDefault="00C55945" w:rsidP="001D1759">
      <w:pPr>
        <w:pStyle w:val="NormalWeb"/>
        <w:spacing w:before="0" w:beforeAutospacing="0" w:after="0" w:afterAutospacing="0"/>
        <w:jc w:val="center"/>
        <w:rPr>
          <w:rFonts w:asciiTheme="majorHAnsi" w:hAnsiTheme="majorHAnsi" w:cs="Cambria"/>
          <w:sz w:val="28"/>
          <w:szCs w:val="28"/>
        </w:rPr>
      </w:pPr>
    </w:p>
    <w:p w:rsidR="00C55945" w:rsidRDefault="00C55945" w:rsidP="001D1759">
      <w:pPr>
        <w:pStyle w:val="NormalWeb"/>
        <w:spacing w:before="0" w:beforeAutospacing="0" w:after="0" w:afterAutospacing="0"/>
        <w:jc w:val="center"/>
        <w:rPr>
          <w:rFonts w:asciiTheme="majorHAnsi" w:hAnsiTheme="majorHAnsi" w:cs="Cambria"/>
          <w:sz w:val="28"/>
          <w:szCs w:val="28"/>
        </w:rPr>
      </w:pPr>
    </w:p>
    <w:p w:rsidR="00C55945" w:rsidRDefault="00C55945" w:rsidP="001D1759">
      <w:pPr>
        <w:pStyle w:val="NormalWeb"/>
        <w:spacing w:before="0" w:beforeAutospacing="0" w:after="0" w:afterAutospacing="0"/>
        <w:jc w:val="center"/>
        <w:rPr>
          <w:rFonts w:asciiTheme="majorHAnsi" w:hAnsiTheme="majorHAnsi" w:cs="Cambria"/>
          <w:sz w:val="28"/>
          <w:szCs w:val="28"/>
        </w:rPr>
      </w:pPr>
    </w:p>
    <w:p w:rsidR="00C55945" w:rsidRDefault="00C55945" w:rsidP="001D1759">
      <w:pPr>
        <w:pStyle w:val="NormalWeb"/>
        <w:spacing w:before="0" w:beforeAutospacing="0" w:after="0" w:afterAutospacing="0"/>
        <w:jc w:val="center"/>
        <w:rPr>
          <w:rFonts w:asciiTheme="majorHAnsi" w:hAnsiTheme="majorHAnsi" w:cs="Cambria"/>
          <w:sz w:val="28"/>
          <w:szCs w:val="28"/>
        </w:rPr>
      </w:pPr>
    </w:p>
    <w:p w:rsidR="00C55945" w:rsidRDefault="00C55945" w:rsidP="001D1759">
      <w:pPr>
        <w:pStyle w:val="NormalWeb"/>
        <w:spacing w:before="0" w:beforeAutospacing="0" w:after="0" w:afterAutospacing="0"/>
        <w:jc w:val="center"/>
        <w:rPr>
          <w:rFonts w:asciiTheme="majorHAnsi" w:hAnsiTheme="majorHAnsi" w:cs="Cambria"/>
          <w:sz w:val="28"/>
          <w:szCs w:val="28"/>
        </w:rPr>
      </w:pPr>
    </w:p>
    <w:p w:rsidR="00C55945" w:rsidRDefault="00C55945" w:rsidP="001D1759">
      <w:pPr>
        <w:pStyle w:val="NormalWeb"/>
        <w:spacing w:before="0" w:beforeAutospacing="0" w:after="0" w:afterAutospacing="0"/>
        <w:jc w:val="center"/>
        <w:rPr>
          <w:rFonts w:asciiTheme="majorHAnsi" w:hAnsiTheme="majorHAnsi" w:cs="Cambria"/>
          <w:sz w:val="28"/>
          <w:szCs w:val="28"/>
        </w:rPr>
      </w:pPr>
    </w:p>
    <w:p w:rsidR="00C55945" w:rsidRDefault="00C55945" w:rsidP="001D1759">
      <w:pPr>
        <w:pStyle w:val="NormalWeb"/>
        <w:spacing w:before="0" w:beforeAutospacing="0" w:after="0" w:afterAutospacing="0"/>
        <w:jc w:val="center"/>
        <w:rPr>
          <w:rFonts w:asciiTheme="majorHAnsi" w:hAnsiTheme="majorHAnsi" w:cs="Cambria"/>
          <w:sz w:val="28"/>
          <w:szCs w:val="28"/>
        </w:rPr>
      </w:pPr>
    </w:p>
    <w:p w:rsidR="00C55945" w:rsidRDefault="00C55945" w:rsidP="001D1759">
      <w:pPr>
        <w:pStyle w:val="NormalWeb"/>
        <w:spacing w:before="0" w:beforeAutospacing="0" w:after="0" w:afterAutospacing="0"/>
        <w:jc w:val="center"/>
        <w:rPr>
          <w:rFonts w:asciiTheme="majorHAnsi" w:hAnsiTheme="majorHAnsi" w:cs="Cambria"/>
          <w:sz w:val="28"/>
          <w:szCs w:val="28"/>
        </w:rPr>
      </w:pPr>
    </w:p>
    <w:p w:rsidR="00C55945" w:rsidRDefault="00C55945" w:rsidP="001D1759">
      <w:pPr>
        <w:pStyle w:val="NormalWeb"/>
        <w:spacing w:before="0" w:beforeAutospacing="0" w:after="0" w:afterAutospacing="0"/>
        <w:jc w:val="center"/>
        <w:rPr>
          <w:rFonts w:asciiTheme="majorHAnsi" w:hAnsiTheme="majorHAnsi" w:cs="Cambria"/>
          <w:sz w:val="28"/>
          <w:szCs w:val="28"/>
        </w:rPr>
      </w:pPr>
    </w:p>
    <w:p w:rsidR="00C55945" w:rsidRDefault="00C55945" w:rsidP="001D1759">
      <w:pPr>
        <w:pStyle w:val="NormalWeb"/>
        <w:spacing w:before="0" w:beforeAutospacing="0" w:after="0" w:afterAutospacing="0"/>
        <w:jc w:val="center"/>
        <w:rPr>
          <w:rFonts w:asciiTheme="majorHAnsi" w:hAnsiTheme="majorHAnsi" w:cs="Cambria"/>
          <w:sz w:val="28"/>
          <w:szCs w:val="28"/>
        </w:rPr>
      </w:pPr>
    </w:p>
    <w:sectPr w:rsidR="00C55945" w:rsidSect="001D1759">
      <w:headerReference w:type="default" r:id="rId7"/>
      <w:pgSz w:w="11906" w:h="16838"/>
      <w:pgMar w:top="0"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BFA" w:rsidRDefault="00336BFA" w:rsidP="00856843">
      <w:r>
        <w:separator/>
      </w:r>
    </w:p>
  </w:endnote>
  <w:endnote w:type="continuationSeparator" w:id="0">
    <w:p w:rsidR="00336BFA" w:rsidRDefault="00336BFA" w:rsidP="008568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BFA" w:rsidRDefault="00336BFA" w:rsidP="00856843">
      <w:r>
        <w:separator/>
      </w:r>
    </w:p>
  </w:footnote>
  <w:footnote w:type="continuationSeparator" w:id="0">
    <w:p w:rsidR="00336BFA" w:rsidRDefault="00336BFA" w:rsidP="00856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B3" w:rsidRPr="00312AB3" w:rsidRDefault="00312AB3" w:rsidP="00312AB3">
    <w:pPr>
      <w:pStyle w:val="Cabealho"/>
    </w:pPr>
    <w:r w:rsidRPr="00A21592">
      <w:rPr>
        <w:rFonts w:ascii="Arial" w:hAnsi="Arial" w:cs="Arial"/>
      </w:rPr>
      <w:object w:dxaOrig="8814" w:dyaOrig="2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26.75pt" o:ole="">
          <v:imagedata r:id="rId1" o:title=""/>
        </v:shape>
        <o:OLEObject Type="Embed" ProgID="Word.Document.8" ShapeID="_x0000_i1025" DrawAspect="Content" ObjectID="_1616244996" r:id="rId2">
          <o:FieldCodes>\s</o:FieldCodes>
        </o:OLEObject>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46B1D08"/>
    <w:multiLevelType w:val="hybridMultilevel"/>
    <w:tmpl w:val="DBFE56F6"/>
    <w:lvl w:ilvl="0" w:tplc="04160007">
      <w:start w:val="1"/>
      <w:numFmt w:val="bullet"/>
      <w:lvlText w:val=""/>
      <w:lvlPicBulletId w:val="0"/>
      <w:lvlJc w:val="left"/>
      <w:pPr>
        <w:tabs>
          <w:tab w:val="num" w:pos="360"/>
        </w:tabs>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856843"/>
    <w:rsid w:val="00013B93"/>
    <w:rsid w:val="000378EF"/>
    <w:rsid w:val="000B36B5"/>
    <w:rsid w:val="000D64A4"/>
    <w:rsid w:val="000F3501"/>
    <w:rsid w:val="001956A1"/>
    <w:rsid w:val="001970C3"/>
    <w:rsid w:val="001C1E73"/>
    <w:rsid w:val="001D1759"/>
    <w:rsid w:val="001D45D6"/>
    <w:rsid w:val="001E18F1"/>
    <w:rsid w:val="001E6153"/>
    <w:rsid w:val="001F71BC"/>
    <w:rsid w:val="00211843"/>
    <w:rsid w:val="00231673"/>
    <w:rsid w:val="00242569"/>
    <w:rsid w:val="0027086E"/>
    <w:rsid w:val="00283BB1"/>
    <w:rsid w:val="002C1063"/>
    <w:rsid w:val="002C785F"/>
    <w:rsid w:val="0030107B"/>
    <w:rsid w:val="00301C37"/>
    <w:rsid w:val="00312AB3"/>
    <w:rsid w:val="00336BFA"/>
    <w:rsid w:val="003C5019"/>
    <w:rsid w:val="003D4A5C"/>
    <w:rsid w:val="004200D2"/>
    <w:rsid w:val="00444E6B"/>
    <w:rsid w:val="004D2F16"/>
    <w:rsid w:val="005137E0"/>
    <w:rsid w:val="00551E64"/>
    <w:rsid w:val="00553B4A"/>
    <w:rsid w:val="00556614"/>
    <w:rsid w:val="005711FE"/>
    <w:rsid w:val="005756F4"/>
    <w:rsid w:val="005F08E7"/>
    <w:rsid w:val="005F5861"/>
    <w:rsid w:val="006244AD"/>
    <w:rsid w:val="006376F8"/>
    <w:rsid w:val="0069719B"/>
    <w:rsid w:val="006B76BF"/>
    <w:rsid w:val="006C45CE"/>
    <w:rsid w:val="00704CE8"/>
    <w:rsid w:val="007164D6"/>
    <w:rsid w:val="0071700C"/>
    <w:rsid w:val="00780BBF"/>
    <w:rsid w:val="007919B3"/>
    <w:rsid w:val="007A1E69"/>
    <w:rsid w:val="007D6B0A"/>
    <w:rsid w:val="007F7185"/>
    <w:rsid w:val="0080754A"/>
    <w:rsid w:val="00810860"/>
    <w:rsid w:val="0083709F"/>
    <w:rsid w:val="008376BD"/>
    <w:rsid w:val="00846B39"/>
    <w:rsid w:val="008540EF"/>
    <w:rsid w:val="00856843"/>
    <w:rsid w:val="00867132"/>
    <w:rsid w:val="0087482A"/>
    <w:rsid w:val="00897462"/>
    <w:rsid w:val="008A2F3E"/>
    <w:rsid w:val="008D6FA2"/>
    <w:rsid w:val="0091715A"/>
    <w:rsid w:val="00966836"/>
    <w:rsid w:val="009A0182"/>
    <w:rsid w:val="009A76DE"/>
    <w:rsid w:val="009B72E5"/>
    <w:rsid w:val="00A119C5"/>
    <w:rsid w:val="00A21592"/>
    <w:rsid w:val="00A24D70"/>
    <w:rsid w:val="00A35BF4"/>
    <w:rsid w:val="00A752F1"/>
    <w:rsid w:val="00A92867"/>
    <w:rsid w:val="00A96153"/>
    <w:rsid w:val="00AA6B9C"/>
    <w:rsid w:val="00AA7A47"/>
    <w:rsid w:val="00AB15C7"/>
    <w:rsid w:val="00AF0AC8"/>
    <w:rsid w:val="00B030AE"/>
    <w:rsid w:val="00B07FC2"/>
    <w:rsid w:val="00B11D8E"/>
    <w:rsid w:val="00B16A36"/>
    <w:rsid w:val="00B23FA7"/>
    <w:rsid w:val="00B464C6"/>
    <w:rsid w:val="00B513B6"/>
    <w:rsid w:val="00B5743D"/>
    <w:rsid w:val="00B70834"/>
    <w:rsid w:val="00C129AD"/>
    <w:rsid w:val="00C22253"/>
    <w:rsid w:val="00C40B21"/>
    <w:rsid w:val="00C4766C"/>
    <w:rsid w:val="00C53630"/>
    <w:rsid w:val="00C55945"/>
    <w:rsid w:val="00C65877"/>
    <w:rsid w:val="00CA4018"/>
    <w:rsid w:val="00CD503B"/>
    <w:rsid w:val="00CE2657"/>
    <w:rsid w:val="00D07F4E"/>
    <w:rsid w:val="00D13200"/>
    <w:rsid w:val="00D15964"/>
    <w:rsid w:val="00D2510B"/>
    <w:rsid w:val="00D85910"/>
    <w:rsid w:val="00D917BF"/>
    <w:rsid w:val="00D94372"/>
    <w:rsid w:val="00DC0895"/>
    <w:rsid w:val="00DF6324"/>
    <w:rsid w:val="00E36ED1"/>
    <w:rsid w:val="00E523F6"/>
    <w:rsid w:val="00E53AC0"/>
    <w:rsid w:val="00E95BD1"/>
    <w:rsid w:val="00E97072"/>
    <w:rsid w:val="00EE36B5"/>
    <w:rsid w:val="00EE51CC"/>
    <w:rsid w:val="00F279D1"/>
    <w:rsid w:val="00F43153"/>
    <w:rsid w:val="00F676AA"/>
    <w:rsid w:val="00F85C67"/>
    <w:rsid w:val="00FC4A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4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6843"/>
    <w:pPr>
      <w:tabs>
        <w:tab w:val="center" w:pos="4252"/>
        <w:tab w:val="right" w:pos="8504"/>
      </w:tabs>
    </w:pPr>
  </w:style>
  <w:style w:type="character" w:customStyle="1" w:styleId="CabealhoChar">
    <w:name w:val="Cabeçalho Char"/>
    <w:basedOn w:val="Fontepargpadro"/>
    <w:link w:val="Cabealho"/>
    <w:uiPriority w:val="99"/>
    <w:rsid w:val="00856843"/>
  </w:style>
  <w:style w:type="paragraph" w:styleId="Rodap">
    <w:name w:val="footer"/>
    <w:basedOn w:val="Normal"/>
    <w:link w:val="RodapChar"/>
    <w:uiPriority w:val="99"/>
    <w:unhideWhenUsed/>
    <w:rsid w:val="00856843"/>
    <w:pPr>
      <w:tabs>
        <w:tab w:val="center" w:pos="4252"/>
        <w:tab w:val="right" w:pos="8504"/>
      </w:tabs>
    </w:pPr>
  </w:style>
  <w:style w:type="character" w:customStyle="1" w:styleId="RodapChar">
    <w:name w:val="Rodapé Char"/>
    <w:basedOn w:val="Fontepargpadro"/>
    <w:link w:val="Rodap"/>
    <w:uiPriority w:val="99"/>
    <w:rsid w:val="00856843"/>
  </w:style>
  <w:style w:type="paragraph" w:styleId="NormalWeb">
    <w:name w:val="Normal (Web)"/>
    <w:basedOn w:val="Normal"/>
    <w:uiPriority w:val="99"/>
    <w:unhideWhenUsed/>
    <w:rsid w:val="00856843"/>
    <w:pPr>
      <w:spacing w:before="100" w:beforeAutospacing="1" w:after="100" w:afterAutospacing="1"/>
    </w:pPr>
  </w:style>
  <w:style w:type="paragraph" w:customStyle="1" w:styleId="Default">
    <w:name w:val="Default"/>
    <w:uiPriority w:val="99"/>
    <w:rsid w:val="00856843"/>
    <w:pPr>
      <w:autoSpaceDE w:val="0"/>
      <w:autoSpaceDN w:val="0"/>
      <w:adjustRightInd w:val="0"/>
      <w:spacing w:line="240" w:lineRule="auto"/>
      <w:jc w:val="left"/>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55541447">
      <w:bodyDiv w:val="1"/>
      <w:marLeft w:val="0"/>
      <w:marRight w:val="0"/>
      <w:marTop w:val="0"/>
      <w:marBottom w:val="0"/>
      <w:divBdr>
        <w:top w:val="none" w:sz="0" w:space="0" w:color="auto"/>
        <w:left w:val="none" w:sz="0" w:space="0" w:color="auto"/>
        <w:bottom w:val="none" w:sz="0" w:space="0" w:color="auto"/>
        <w:right w:val="none" w:sz="0" w:space="0" w:color="auto"/>
      </w:divBdr>
    </w:div>
    <w:div w:id="1380011347">
      <w:bodyDiv w:val="1"/>
      <w:marLeft w:val="0"/>
      <w:marRight w:val="0"/>
      <w:marTop w:val="0"/>
      <w:marBottom w:val="0"/>
      <w:divBdr>
        <w:top w:val="none" w:sz="0" w:space="0" w:color="auto"/>
        <w:left w:val="none" w:sz="0" w:space="0" w:color="auto"/>
        <w:bottom w:val="none" w:sz="0" w:space="0" w:color="auto"/>
        <w:right w:val="none" w:sz="0" w:space="0" w:color="auto"/>
      </w:divBdr>
    </w:div>
    <w:div w:id="15222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Documento_do_Microsoft_Office_Word_97_-_20031.doc"/><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Cadastro</dc:creator>
  <cp:lastModifiedBy>Micro-pc</cp:lastModifiedBy>
  <cp:revision>2</cp:revision>
  <cp:lastPrinted>2018-06-13T13:37:00Z</cp:lastPrinted>
  <dcterms:created xsi:type="dcterms:W3CDTF">2019-04-08T19:10:00Z</dcterms:created>
  <dcterms:modified xsi:type="dcterms:W3CDTF">2019-04-08T19:10:00Z</dcterms:modified>
</cp:coreProperties>
</file>